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596D" w14:textId="1B7B9F87"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 xml:space="preserve">The Agreement to furnish certain </w:t>
      </w:r>
      <w:r w:rsidR="00902DC6" w:rsidRPr="002D0371">
        <w:rPr>
          <w:rFonts w:ascii="Calibri" w:hAnsi="Calibri" w:cs="Tahoma"/>
          <w:sz w:val="20"/>
        </w:rPr>
        <w:t>cloud computing</w:t>
      </w:r>
      <w:r w:rsidRPr="002D0371">
        <w:rPr>
          <w:rFonts w:ascii="Calibri" w:hAnsi="Calibri" w:cs="Tahoma"/>
          <w:sz w:val="20"/>
        </w:rPr>
        <w:t xml:space="preserve">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902DC6" w:rsidRPr="002D0371">
        <w:rPr>
          <w:rFonts w:ascii="Calibri" w:hAnsi="Calibri" w:cs="Tahoma"/>
          <w:b/>
          <w:sz w:val="20"/>
        </w:rPr>
        <w:t>[</w:t>
      </w:r>
      <w:r w:rsidR="00902DC6" w:rsidRPr="00237125">
        <w:rPr>
          <w:rFonts w:ascii="Calibri" w:hAnsi="Calibri" w:cs="Tahoma"/>
          <w:b/>
          <w:color w:val="FF0000"/>
          <w:sz w:val="20"/>
          <w:highlight w:val="yellow"/>
        </w:rPr>
        <w:t>Buyer: add agreement effective date here in the format [</w:t>
      </w:r>
      <w:r w:rsidR="00E55574">
        <w:rPr>
          <w:rFonts w:ascii="Calibri" w:hAnsi="Calibri" w:cs="Tahoma"/>
          <w:b/>
          <w:color w:val="FF0000"/>
          <w:sz w:val="20"/>
          <w:highlight w:val="yellow"/>
        </w:rPr>
        <w:t>June</w:t>
      </w:r>
      <w:r w:rsidR="00556F8F" w:rsidRPr="00237125">
        <w:rPr>
          <w:rFonts w:ascii="Calibri" w:hAnsi="Calibri" w:cs="Tahoma"/>
          <w:b/>
          <w:color w:val="FF0000"/>
          <w:sz w:val="20"/>
          <w:highlight w:val="yellow"/>
        </w:rPr>
        <w:t>]</w:t>
      </w:r>
      <w:r w:rsidR="00902DC6" w:rsidRPr="00237125">
        <w:rPr>
          <w:rFonts w:ascii="Calibri" w:hAnsi="Calibri" w:cs="Tahoma"/>
          <w:b/>
          <w:color w:val="FF0000"/>
          <w:sz w:val="20"/>
          <w:highlight w:val="yellow"/>
        </w:rPr>
        <w:t xml:space="preserve"> [</w:t>
      </w:r>
      <w:r w:rsidR="00E55574">
        <w:rPr>
          <w:rFonts w:ascii="Calibri" w:hAnsi="Calibri" w:cs="Tahoma"/>
          <w:b/>
          <w:color w:val="FF0000"/>
          <w:sz w:val="20"/>
          <w:highlight w:val="yellow"/>
        </w:rPr>
        <w:t>21</w:t>
      </w:r>
      <w:r w:rsidR="00556F8F" w:rsidRPr="00237125">
        <w:rPr>
          <w:rFonts w:ascii="Calibri" w:hAnsi="Calibri" w:cs="Tahoma"/>
          <w:b/>
          <w:color w:val="FF0000"/>
          <w:sz w:val="20"/>
          <w:highlight w:val="yellow"/>
        </w:rPr>
        <w:t>]</w:t>
      </w:r>
      <w:r w:rsidR="00902DC6" w:rsidRPr="00237125">
        <w:rPr>
          <w:rFonts w:ascii="Calibri" w:hAnsi="Calibri" w:cs="Tahoma"/>
          <w:b/>
          <w:color w:val="FF0000"/>
          <w:sz w:val="20"/>
          <w:highlight w:val="yellow"/>
        </w:rPr>
        <w:t>, [</w:t>
      </w:r>
      <w:r w:rsidR="00E55574">
        <w:rPr>
          <w:rFonts w:ascii="Calibri" w:hAnsi="Calibri" w:cs="Tahoma"/>
          <w:b/>
          <w:color w:val="FF0000"/>
          <w:sz w:val="20"/>
          <w:highlight w:val="yellow"/>
        </w:rPr>
        <w:t>2022</w:t>
      </w:r>
      <w:r w:rsidR="00556F8F" w:rsidRPr="00237125">
        <w:rPr>
          <w:rFonts w:ascii="Calibri" w:hAnsi="Calibri" w:cs="Tahoma"/>
          <w:b/>
          <w:color w:val="FF0000"/>
          <w:sz w:val="20"/>
          <w:highlight w:val="yellow"/>
        </w:rPr>
        <w:t>]</w:t>
      </w:r>
      <w:r w:rsidR="00902DC6" w:rsidRPr="0052331B">
        <w:rPr>
          <w:rFonts w:ascii="Calibri" w:hAnsi="Calibri" w:cs="Tahoma"/>
          <w:b/>
          <w:sz w:val="20"/>
        </w:rPr>
        <w:t>]</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DE0F86" w:rsidRPr="005947B2">
        <w:rPr>
          <w:rFonts w:ascii="Calibri" w:hAnsi="Calibri" w:cs="Tahoma"/>
          <w:sz w:val="20"/>
        </w:rPr>
        <w:t xml:space="preserve">the supplier </w:t>
      </w:r>
      <w:proofErr w:type="spellStart"/>
      <w:r w:rsidR="009F478C" w:rsidRPr="009F478C">
        <w:rPr>
          <w:rFonts w:ascii="Calibri" w:hAnsi="Calibri" w:cs="Tahoma"/>
          <w:b/>
          <w:sz w:val="20"/>
          <w:highlight w:val="yellow"/>
        </w:rPr>
        <w:t>xxxx</w:t>
      </w:r>
      <w:proofErr w:type="spellEnd"/>
      <w:r w:rsidRPr="002D0371">
        <w:rPr>
          <w:rFonts w:ascii="Calibri" w:hAnsi="Calibri" w:cs="Tahoma"/>
          <w:sz w:val="20"/>
        </w:rPr>
        <w:t xml:space="preserve"> (“Supplier”).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7777777" w:rsidR="00932DCF" w:rsidRPr="002D0371" w:rsidRDefault="00932DCF" w:rsidP="00C032A4">
      <w:pPr>
        <w:widowControl w:val="0"/>
        <w:tabs>
          <w:tab w:val="left" w:pos="0"/>
        </w:tabs>
        <w:spacing w:after="120"/>
        <w:rPr>
          <w:rFonts w:ascii="Calibri" w:hAnsi="Calibri" w:cs="Tahoma"/>
          <w:b/>
          <w:sz w:val="28"/>
          <w:szCs w:val="28"/>
        </w:rPr>
      </w:pPr>
      <w:r w:rsidRPr="002D0371">
        <w:rPr>
          <w:rFonts w:ascii="Calibri" w:hAnsi="Calibri" w:cs="Tahoma"/>
          <w:b/>
          <w:sz w:val="28"/>
          <w:szCs w:val="28"/>
        </w:rPr>
        <w:t>1.</w:t>
      </w:r>
      <w:r w:rsidRPr="002D0371">
        <w:rPr>
          <w:rFonts w:ascii="Calibri" w:hAnsi="Calibri" w:cs="Tahoma"/>
          <w:b/>
          <w:sz w:val="28"/>
          <w:szCs w:val="28"/>
        </w:rPr>
        <w:tab/>
        <w:t>Statement of Work</w:t>
      </w:r>
    </w:p>
    <w:p w14:paraId="24647597" w14:textId="70A3ACCC"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132B80B2" w14:textId="6DFF0896" w:rsidR="00186606" w:rsidRPr="00186606" w:rsidRDefault="00186606" w:rsidP="00186606">
      <w:pPr>
        <w:rPr>
          <w:rFonts w:ascii="Calibri" w:hAnsi="Calibri" w:cs="Tahoma"/>
          <w:sz w:val="20"/>
        </w:rPr>
      </w:pPr>
      <w:r>
        <w:rPr>
          <w:rFonts w:ascii="Calibri" w:hAnsi="Calibri" w:cs="Tahoma"/>
          <w:sz w:val="20"/>
        </w:rPr>
        <w:t>Service is for</w:t>
      </w:r>
      <w:r w:rsidRPr="00186606">
        <w:rPr>
          <w:rFonts w:ascii="Calibri" w:hAnsi="Calibri" w:cs="Tahoma"/>
          <w:sz w:val="20"/>
        </w:rPr>
        <w:t xml:space="preserve"> end-to-end assessment of its Revenue Cycle function. The purpose of the review is to provide the organization with a current state view of </w:t>
      </w:r>
      <w:commentRangeStart w:id="0"/>
      <w:r w:rsidRPr="00186606">
        <w:rPr>
          <w:rFonts w:ascii="Calibri" w:hAnsi="Calibri" w:cs="Tahoma"/>
          <w:sz w:val="20"/>
        </w:rPr>
        <w:t xml:space="preserve">RCO </w:t>
      </w:r>
      <w:commentRangeEnd w:id="0"/>
      <w:r w:rsidRPr="00186606">
        <w:rPr>
          <w:rFonts w:ascii="Calibri" w:hAnsi="Calibri" w:cs="Tahoma"/>
          <w:sz w:val="20"/>
        </w:rPr>
        <w:commentReference w:id="0"/>
      </w:r>
      <w:r w:rsidRPr="00186606">
        <w:rPr>
          <w:rFonts w:ascii="Calibri" w:hAnsi="Calibri" w:cs="Tahoma"/>
          <w:sz w:val="20"/>
        </w:rPr>
        <w:t>processes and procedures, and review Epic system performance, for optimization and alignment with best-in-class models and outcomes. In addition, the structure and management of the Revenue Cycle Office should be documented, and recommendations made for any improvements. Specifically, the review should cover the following areas:</w:t>
      </w:r>
    </w:p>
    <w:p w14:paraId="06F4F785" w14:textId="77777777" w:rsidR="00186606" w:rsidRPr="00186606" w:rsidRDefault="00186606" w:rsidP="00186606">
      <w:pPr>
        <w:rPr>
          <w:rFonts w:ascii="Calibri" w:hAnsi="Calibri" w:cs="Tahoma"/>
          <w:sz w:val="20"/>
        </w:rPr>
      </w:pPr>
      <w:r w:rsidRPr="00186606">
        <w:rPr>
          <w:rFonts w:ascii="Calibri" w:hAnsi="Calibri" w:cs="Tahoma"/>
          <w:sz w:val="20"/>
        </w:rPr>
        <w:t>Overall</w:t>
      </w:r>
    </w:p>
    <w:p w14:paraId="7EC86E66" w14:textId="77777777" w:rsidR="00186606" w:rsidRPr="00186606" w:rsidRDefault="00186606" w:rsidP="00186606">
      <w:pPr>
        <w:pStyle w:val="ListParagraph"/>
        <w:widowControl w:val="0"/>
        <w:numPr>
          <w:ilvl w:val="0"/>
          <w:numId w:val="29"/>
        </w:numPr>
        <w:autoSpaceDE w:val="0"/>
        <w:autoSpaceDN w:val="0"/>
        <w:rPr>
          <w:rFonts w:ascii="Calibri" w:hAnsi="Calibri" w:cs="Tahoma"/>
          <w:sz w:val="20"/>
        </w:rPr>
      </w:pPr>
      <w:r w:rsidRPr="00186606">
        <w:rPr>
          <w:rFonts w:ascii="Calibri" w:hAnsi="Calibri" w:cs="Tahoma"/>
          <w:sz w:val="20"/>
        </w:rPr>
        <w:t>Review and document UCDH Hospital and Professional Revenue Cycle processes, technologies, vendors, and associated governance models for the areas listed below</w:t>
      </w:r>
    </w:p>
    <w:p w14:paraId="6A402B06" w14:textId="77777777" w:rsidR="00186606" w:rsidRPr="00186606" w:rsidRDefault="00186606" w:rsidP="00186606">
      <w:pPr>
        <w:pStyle w:val="ListParagraph"/>
        <w:widowControl w:val="0"/>
        <w:numPr>
          <w:ilvl w:val="0"/>
          <w:numId w:val="29"/>
        </w:numPr>
        <w:autoSpaceDE w:val="0"/>
        <w:autoSpaceDN w:val="0"/>
        <w:rPr>
          <w:rFonts w:ascii="Calibri" w:hAnsi="Calibri" w:cs="Tahoma"/>
          <w:sz w:val="20"/>
        </w:rPr>
      </w:pPr>
      <w:r w:rsidRPr="00186606">
        <w:rPr>
          <w:rFonts w:ascii="Calibri" w:hAnsi="Calibri" w:cs="Tahoma"/>
          <w:sz w:val="20"/>
        </w:rPr>
        <w:t>Assess and benchmark staffing levels and structure</w:t>
      </w:r>
    </w:p>
    <w:p w14:paraId="3ABF7BA4" w14:textId="77777777" w:rsidR="00186606" w:rsidRPr="00186606" w:rsidRDefault="00186606" w:rsidP="00186606">
      <w:pPr>
        <w:pStyle w:val="ListParagraph"/>
        <w:widowControl w:val="0"/>
        <w:numPr>
          <w:ilvl w:val="0"/>
          <w:numId w:val="29"/>
        </w:numPr>
        <w:autoSpaceDE w:val="0"/>
        <w:autoSpaceDN w:val="0"/>
        <w:rPr>
          <w:rFonts w:ascii="Calibri" w:hAnsi="Calibri" w:cs="Tahoma"/>
          <w:sz w:val="20"/>
        </w:rPr>
      </w:pPr>
      <w:r w:rsidRPr="00186606">
        <w:rPr>
          <w:rFonts w:ascii="Calibri" w:hAnsi="Calibri" w:cs="Tahoma"/>
          <w:sz w:val="20"/>
        </w:rPr>
        <w:t>Assess compliance with the latest regulations including, but not limited to, No Surprises Act, The 21st Century Cures Act, Inflation Reduction Act, ABN, Price Transparency, AB1020, AB72</w:t>
      </w:r>
    </w:p>
    <w:p w14:paraId="5EF72316" w14:textId="77777777" w:rsidR="00186606" w:rsidRPr="00186606" w:rsidRDefault="00186606" w:rsidP="00186606">
      <w:pPr>
        <w:pStyle w:val="ListParagraph"/>
        <w:widowControl w:val="0"/>
        <w:numPr>
          <w:ilvl w:val="0"/>
          <w:numId w:val="29"/>
        </w:numPr>
        <w:autoSpaceDE w:val="0"/>
        <w:autoSpaceDN w:val="0"/>
        <w:rPr>
          <w:rFonts w:ascii="Calibri" w:hAnsi="Calibri" w:cs="Tahoma"/>
          <w:sz w:val="20"/>
        </w:rPr>
      </w:pPr>
      <w:r w:rsidRPr="00186606">
        <w:rPr>
          <w:rFonts w:ascii="Calibri" w:hAnsi="Calibri" w:cs="Tahoma"/>
          <w:sz w:val="20"/>
        </w:rPr>
        <w:t>Assess reporting functionality, data accuracy, consistency</w:t>
      </w:r>
    </w:p>
    <w:p w14:paraId="4A09DB08" w14:textId="77777777" w:rsidR="00186606" w:rsidRPr="00186606" w:rsidRDefault="00186606" w:rsidP="00186606">
      <w:pPr>
        <w:pStyle w:val="ListParagraph"/>
        <w:widowControl w:val="0"/>
        <w:numPr>
          <w:ilvl w:val="0"/>
          <w:numId w:val="29"/>
        </w:numPr>
        <w:autoSpaceDE w:val="0"/>
        <w:autoSpaceDN w:val="0"/>
        <w:rPr>
          <w:rFonts w:ascii="Calibri" w:hAnsi="Calibri" w:cs="Tahoma"/>
          <w:sz w:val="20"/>
        </w:rPr>
      </w:pPr>
      <w:r w:rsidRPr="00186606">
        <w:rPr>
          <w:rFonts w:ascii="Calibri" w:hAnsi="Calibri" w:cs="Tahoma"/>
          <w:sz w:val="20"/>
        </w:rPr>
        <w:t>Identify duplication of resources, processes and vendors for consolidation, cost savings</w:t>
      </w:r>
    </w:p>
    <w:p w14:paraId="7724AC27" w14:textId="77777777" w:rsidR="00186606" w:rsidRPr="00186606" w:rsidRDefault="00186606" w:rsidP="00186606">
      <w:pPr>
        <w:pStyle w:val="ListParagraph"/>
        <w:widowControl w:val="0"/>
        <w:numPr>
          <w:ilvl w:val="0"/>
          <w:numId w:val="29"/>
        </w:numPr>
        <w:autoSpaceDE w:val="0"/>
        <w:autoSpaceDN w:val="0"/>
        <w:rPr>
          <w:rFonts w:ascii="Calibri" w:hAnsi="Calibri" w:cs="Tahoma"/>
          <w:sz w:val="20"/>
        </w:rPr>
      </w:pPr>
      <w:r w:rsidRPr="00186606">
        <w:rPr>
          <w:rFonts w:ascii="Calibri" w:hAnsi="Calibri" w:cs="Tahoma"/>
          <w:sz w:val="20"/>
        </w:rPr>
        <w:t>Provide recommendations for improvement prioritized based on compliance and expected net ROI</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728C6A1A" w:rsidR="00E93749" w:rsidRPr="002D0371" w:rsidRDefault="00E93749" w:rsidP="00C032A4">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Term of Agreement/Termination</w:t>
      </w:r>
      <w:r w:rsidR="00604898">
        <w:rPr>
          <w:rFonts w:ascii="Calibri" w:hAnsi="Calibri" w:cs="Tahoma"/>
          <w:b/>
          <w:color w:val="000000"/>
          <w:sz w:val="28"/>
          <w:szCs w:val="28"/>
        </w:rPr>
        <w:t xml:space="preserve"> </w:t>
      </w:r>
    </w:p>
    <w:p w14:paraId="60B2A7EC" w14:textId="36E578FD"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186606">
        <w:rPr>
          <w:rFonts w:ascii="Calibri" w:hAnsi="Calibri" w:cs="Tahoma"/>
          <w:sz w:val="20"/>
          <w:highlight w:val="yellow"/>
        </w:rPr>
        <w:t>03/01</w:t>
      </w:r>
      <w:r w:rsidR="009347EE" w:rsidRPr="009F478C">
        <w:rPr>
          <w:rFonts w:ascii="Calibri" w:hAnsi="Calibri" w:cs="Tahoma"/>
          <w:sz w:val="20"/>
          <w:highlight w:val="yellow"/>
        </w:rPr>
        <w:t>/20</w:t>
      </w:r>
      <w:r w:rsidR="00186606">
        <w:rPr>
          <w:rFonts w:ascii="Calibri" w:hAnsi="Calibri" w:cs="Tahoma"/>
          <w:sz w:val="20"/>
        </w:rPr>
        <w:t>23</w:t>
      </w:r>
      <w:r w:rsidRPr="00B8454C">
        <w:rPr>
          <w:rFonts w:ascii="Calibri" w:hAnsi="Calibri" w:cs="Tahoma"/>
          <w:sz w:val="20"/>
        </w:rPr>
        <w:t xml:space="preserve"> </w:t>
      </w:r>
      <w:r w:rsidRPr="002D0371">
        <w:rPr>
          <w:rFonts w:ascii="Calibri" w:hAnsi="Calibri" w:cs="Tahoma"/>
          <w:sz w:val="20"/>
        </w:rPr>
        <w:t xml:space="preserve">and through </w:t>
      </w:r>
      <w:r w:rsidR="00186606">
        <w:rPr>
          <w:rFonts w:ascii="Calibri" w:hAnsi="Calibri" w:cs="Tahoma"/>
          <w:sz w:val="20"/>
          <w:highlight w:val="yellow"/>
        </w:rPr>
        <w:t>02/27</w:t>
      </w:r>
      <w:r w:rsidR="009347EE" w:rsidRPr="009F478C">
        <w:rPr>
          <w:rFonts w:ascii="Calibri" w:hAnsi="Calibri" w:cs="Tahoma"/>
          <w:sz w:val="20"/>
          <w:highlight w:val="yellow"/>
        </w:rPr>
        <w:t>/202</w:t>
      </w:r>
      <w:r w:rsidR="00186606">
        <w:rPr>
          <w:rFonts w:ascii="Calibri" w:hAnsi="Calibri" w:cs="Tahoma"/>
          <w:sz w:val="20"/>
        </w:rPr>
        <w:t>4</w:t>
      </w:r>
      <w:r w:rsidRPr="00B8454C">
        <w:rPr>
          <w:rFonts w:ascii="Calibri" w:hAnsi="Calibri" w:cs="Tahoma"/>
          <w:sz w:val="20"/>
        </w:rPr>
        <w:t xml:space="preserve"> </w:t>
      </w:r>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w:t>
      </w:r>
      <w:proofErr w:type="gramStart"/>
      <w:r>
        <w:rPr>
          <w:rFonts w:ascii="Calibri" w:hAnsi="Calibri" w:cs="Tahoma"/>
          <w:sz w:val="20"/>
        </w:rPr>
        <w:t>and in the Terms</w:t>
      </w:r>
      <w:proofErr w:type="gramEnd"/>
      <w:r>
        <w:rPr>
          <w:rFonts w:ascii="Calibri" w:hAnsi="Calibri" w:cs="Tahoma"/>
          <w:sz w:val="20"/>
        </w:rPr>
        <w:t xml:space="preserve"> &amp; Conditions Article 2</w:t>
      </w:r>
      <w:r w:rsidRPr="002D0371">
        <w:rPr>
          <w:rFonts w:ascii="Calibri" w:hAnsi="Calibri" w:cs="Tahoma"/>
          <w:sz w:val="20"/>
        </w:rPr>
        <w:t>.</w:t>
      </w:r>
      <w:r w:rsidR="00604898">
        <w:rPr>
          <w:rFonts w:ascii="Calibri" w:hAnsi="Calibri" w:cs="Tahoma"/>
          <w:sz w:val="20"/>
        </w:rPr>
        <w:t xml:space="preserve"> </w:t>
      </w:r>
    </w:p>
    <w:p w14:paraId="0B86E813" w14:textId="1C5F60B2"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7FE9A367" w14:textId="77777777" w:rsidR="00E55574" w:rsidRPr="00B8454C" w:rsidRDefault="00E55574" w:rsidP="00E55574">
      <w:pPr>
        <w:widowControl w:val="0"/>
        <w:spacing w:after="120"/>
        <w:ind w:left="1080"/>
        <w:rPr>
          <w:rFonts w:ascii="Calibri" w:hAnsi="Calibri" w:cs="Tahoma"/>
          <w:sz w:val="20"/>
        </w:rPr>
      </w:pPr>
    </w:p>
    <w:p w14:paraId="0BCE3978" w14:textId="796821EB" w:rsidR="006E5197" w:rsidRPr="002D0371" w:rsidRDefault="00834E0A" w:rsidP="006D5DF6">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 xml:space="preserve">Rights and License </w:t>
      </w:r>
      <w:proofErr w:type="gramStart"/>
      <w:r w:rsidRPr="002D0371">
        <w:rPr>
          <w:rFonts w:ascii="Calibri" w:hAnsi="Calibri" w:cs="Tahoma"/>
          <w:b/>
          <w:color w:val="000000"/>
          <w:sz w:val="28"/>
          <w:szCs w:val="28"/>
        </w:rPr>
        <w:t>In</w:t>
      </w:r>
      <w:proofErr w:type="gramEnd"/>
      <w:r w:rsidRPr="002D0371">
        <w:rPr>
          <w:rFonts w:ascii="Calibri" w:hAnsi="Calibri" w:cs="Tahoma"/>
          <w:b/>
          <w:color w:val="000000"/>
          <w:sz w:val="28"/>
          <w:szCs w:val="28"/>
        </w:rPr>
        <w:t xml:space="preserve"> and To U</w:t>
      </w:r>
      <w:r w:rsidR="0057392D" w:rsidRPr="002D0371">
        <w:rPr>
          <w:rFonts w:ascii="Calibri" w:hAnsi="Calibri" w:cs="Tahoma"/>
          <w:b/>
          <w:color w:val="000000"/>
          <w:sz w:val="28"/>
          <w:szCs w:val="28"/>
        </w:rPr>
        <w:t>C</w:t>
      </w:r>
      <w:r w:rsidRPr="002D0371">
        <w:rPr>
          <w:rFonts w:ascii="Calibri" w:hAnsi="Calibri" w:cs="Tahoma"/>
          <w:b/>
          <w:color w:val="000000"/>
          <w:sz w:val="28"/>
          <w:szCs w:val="28"/>
        </w:rPr>
        <w:t xml:space="preserve"> Data</w:t>
      </w:r>
    </w:p>
    <w:p w14:paraId="40299311" w14:textId="419081EB" w:rsidR="00FE24A3" w:rsidRPr="009E0BD1" w:rsidRDefault="00936D3E"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UC</w:t>
      </w:r>
      <w:r w:rsidR="00FE24A3" w:rsidRPr="002D0371">
        <w:rPr>
          <w:rFonts w:ascii="Calibri" w:hAnsi="Calibri" w:cs="Tahoma"/>
          <w:sz w:val="20"/>
        </w:rPr>
        <w:t xml:space="preserve"> retains the right to use the </w:t>
      </w:r>
      <w:r w:rsidR="00D377CD" w:rsidRPr="002D0371">
        <w:rPr>
          <w:rFonts w:ascii="Calibri" w:hAnsi="Calibri" w:cs="Tahoma"/>
          <w:sz w:val="20"/>
        </w:rPr>
        <w:t xml:space="preserve">Goods and/ or </w:t>
      </w:r>
      <w:r w:rsidR="00FE24A3" w:rsidRPr="002D0371">
        <w:rPr>
          <w:rFonts w:ascii="Calibri" w:hAnsi="Calibri" w:cs="Tahoma"/>
          <w:sz w:val="20"/>
        </w:rPr>
        <w:t xml:space="preserve">Services to access and retrieve </w:t>
      </w:r>
      <w:r w:rsidR="00313B1C" w:rsidRPr="002D0371">
        <w:rPr>
          <w:rFonts w:ascii="Calibri" w:hAnsi="Calibri" w:cs="Tahoma"/>
          <w:sz w:val="20"/>
        </w:rPr>
        <w:t xml:space="preserve">Institutional Information </w:t>
      </w:r>
      <w:r w:rsidR="00CD377B" w:rsidRPr="002D0371">
        <w:rPr>
          <w:rFonts w:ascii="Calibri" w:hAnsi="Calibri" w:cs="Tahoma"/>
          <w:sz w:val="20"/>
        </w:rPr>
        <w:t>(as defined in the UC Appendix – Data Security)</w:t>
      </w:r>
      <w:r w:rsidR="00FE24A3" w:rsidRPr="002D0371">
        <w:rPr>
          <w:rFonts w:ascii="Calibri" w:hAnsi="Calibri" w:cs="Tahoma"/>
          <w:sz w:val="20"/>
        </w:rPr>
        <w:t xml:space="preserve"> stored on Supplier’s Services infrastructure at any time at </w:t>
      </w:r>
      <w:r w:rsidR="002830B5" w:rsidRPr="002D0371">
        <w:rPr>
          <w:rFonts w:ascii="Calibri" w:hAnsi="Calibri" w:cs="Tahoma"/>
          <w:sz w:val="20"/>
        </w:rPr>
        <w:t xml:space="preserve">UC’s </w:t>
      </w:r>
      <w:r w:rsidR="00FE24A3" w:rsidRPr="002D0371">
        <w:rPr>
          <w:rFonts w:ascii="Calibri" w:hAnsi="Calibri" w:cs="Tahoma"/>
          <w:sz w:val="20"/>
        </w:rPr>
        <w:t>sole discretion.</w:t>
      </w:r>
      <w:r w:rsidR="00604898">
        <w:rPr>
          <w:rFonts w:ascii="Calibri" w:hAnsi="Calibri" w:cs="Tahoma"/>
          <w:sz w:val="20"/>
        </w:rPr>
        <w:t xml:space="preserve"> </w:t>
      </w:r>
      <w:r w:rsidR="002853C3" w:rsidRPr="002D0371">
        <w:rPr>
          <w:rFonts w:ascii="Calibri" w:hAnsi="Calibri" w:cs="Tahoma"/>
          <w:sz w:val="20"/>
        </w:rPr>
        <w:t xml:space="preserve">If </w:t>
      </w:r>
      <w:r w:rsidR="00037D99" w:rsidRPr="002D0371">
        <w:rPr>
          <w:rFonts w:ascii="Calibri" w:hAnsi="Calibri" w:cs="Tahoma"/>
          <w:sz w:val="20"/>
        </w:rPr>
        <w:t>UC</w:t>
      </w:r>
      <w:r w:rsidR="002853C3" w:rsidRPr="002D0371">
        <w:rPr>
          <w:rFonts w:ascii="Calibri" w:hAnsi="Calibri" w:cs="Tahoma"/>
          <w:sz w:val="20"/>
        </w:rPr>
        <w:t xml:space="preserve"> </w:t>
      </w:r>
      <w:r w:rsidR="00704B23" w:rsidRPr="002D0371">
        <w:rPr>
          <w:rFonts w:ascii="Calibri" w:hAnsi="Calibri" w:cs="Tahoma"/>
          <w:sz w:val="20"/>
        </w:rPr>
        <w:t xml:space="preserve">requests the </w:t>
      </w:r>
      <w:r w:rsidR="00313B1C" w:rsidRPr="002D0371">
        <w:rPr>
          <w:rFonts w:ascii="Calibri" w:hAnsi="Calibri" w:cs="Tahoma"/>
          <w:sz w:val="20"/>
        </w:rPr>
        <w:t xml:space="preserve">Institutional Information </w:t>
      </w:r>
      <w:r w:rsidR="00704B23" w:rsidRPr="002D0371">
        <w:rPr>
          <w:rFonts w:ascii="Calibri" w:hAnsi="Calibri" w:cs="Tahoma"/>
          <w:sz w:val="20"/>
        </w:rPr>
        <w:t xml:space="preserve">from Supplier, </w:t>
      </w:r>
      <w:r w:rsidR="002853C3" w:rsidRPr="002D0371">
        <w:rPr>
          <w:rFonts w:ascii="Calibri" w:hAnsi="Calibri" w:cs="Tahoma"/>
          <w:sz w:val="20"/>
        </w:rPr>
        <w:t xml:space="preserve">Supplier will </w:t>
      </w:r>
      <w:r w:rsidR="002355AA" w:rsidRPr="002D0371">
        <w:rPr>
          <w:rFonts w:ascii="Calibri" w:hAnsi="Calibri" w:cs="Tahoma"/>
          <w:sz w:val="20"/>
        </w:rPr>
        <w:t>provide</w:t>
      </w:r>
      <w:r w:rsidR="002853C3" w:rsidRPr="002D0371">
        <w:rPr>
          <w:rFonts w:ascii="Calibri" w:hAnsi="Calibri" w:cs="Tahoma"/>
          <w:sz w:val="20"/>
        </w:rPr>
        <w:t xml:space="preserve"> </w:t>
      </w:r>
      <w:r w:rsidR="00037D99" w:rsidRPr="002D0371">
        <w:rPr>
          <w:rFonts w:ascii="Calibri" w:hAnsi="Calibri" w:cs="Tahoma"/>
          <w:sz w:val="20"/>
        </w:rPr>
        <w:t>UC</w:t>
      </w:r>
      <w:r w:rsidR="002853C3" w:rsidRPr="002D0371">
        <w:rPr>
          <w:rFonts w:ascii="Calibri" w:hAnsi="Calibri" w:cs="Tahoma"/>
          <w:sz w:val="20"/>
        </w:rPr>
        <w:t xml:space="preserve"> with copies within forty-eight (48) hours after receipt of </w:t>
      </w:r>
      <w:r w:rsidR="00DE6868" w:rsidRPr="002D0371">
        <w:rPr>
          <w:rFonts w:ascii="Calibri" w:hAnsi="Calibri" w:cs="Tahoma"/>
          <w:sz w:val="20"/>
        </w:rPr>
        <w:t xml:space="preserve">a request </w:t>
      </w:r>
      <w:r w:rsidR="002853C3" w:rsidRPr="002D0371">
        <w:rPr>
          <w:rFonts w:ascii="Calibri" w:hAnsi="Calibri" w:cs="Tahoma"/>
          <w:sz w:val="20"/>
        </w:rPr>
        <w:t xml:space="preserve">from </w:t>
      </w:r>
      <w:proofErr w:type="gramStart"/>
      <w:r w:rsidR="00037D99" w:rsidRPr="002D0371">
        <w:rPr>
          <w:rFonts w:ascii="Calibri" w:hAnsi="Calibri" w:cs="Tahoma"/>
          <w:sz w:val="20"/>
        </w:rPr>
        <w:t>UC</w:t>
      </w:r>
      <w:r w:rsidR="002853C3" w:rsidRPr="002D0371">
        <w:rPr>
          <w:rFonts w:ascii="Calibri" w:hAnsi="Calibri" w:cs="Tahoma"/>
          <w:sz w:val="20"/>
        </w:rPr>
        <w:t>, and</w:t>
      </w:r>
      <w:proofErr w:type="gramEnd"/>
      <w:r w:rsidR="002853C3" w:rsidRPr="002D0371">
        <w:rPr>
          <w:rFonts w:ascii="Calibri" w:hAnsi="Calibri" w:cs="Tahoma"/>
          <w:sz w:val="20"/>
        </w:rPr>
        <w:t xml:space="preserve"> will cooperate with </w:t>
      </w:r>
      <w:r w:rsidR="00037D99" w:rsidRPr="002D0371">
        <w:rPr>
          <w:rFonts w:ascii="Calibri" w:hAnsi="Calibri" w:cs="Tahoma"/>
          <w:sz w:val="20"/>
        </w:rPr>
        <w:t>UC</w:t>
      </w:r>
      <w:r w:rsidR="002853C3" w:rsidRPr="002D0371">
        <w:rPr>
          <w:rFonts w:ascii="Calibri" w:hAnsi="Calibri" w:cs="Tahoma"/>
          <w:sz w:val="20"/>
        </w:rPr>
        <w:t>’s reasonable requests in connection with its response.</w:t>
      </w:r>
    </w:p>
    <w:p w14:paraId="6229F849" w14:textId="412EAB1E" w:rsidR="002853C3" w:rsidRDefault="00097954"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lastRenderedPageBreak/>
        <w:t xml:space="preserve">Supplier will return all </w:t>
      </w:r>
      <w:r w:rsidR="000033C0">
        <w:rPr>
          <w:rFonts w:ascii="Calibri" w:hAnsi="Calibri" w:cs="Tahoma"/>
          <w:sz w:val="20"/>
        </w:rPr>
        <w:t>Institutional Information</w:t>
      </w:r>
      <w:r w:rsidRPr="002D0371">
        <w:rPr>
          <w:rFonts w:ascii="Calibri" w:hAnsi="Calibri" w:cs="Tahoma"/>
          <w:sz w:val="20"/>
        </w:rPr>
        <w:t xml:space="preserve"> to UC in a commonly use</w:t>
      </w:r>
      <w:r w:rsidR="00A8255E" w:rsidRPr="002D0371">
        <w:rPr>
          <w:rFonts w:ascii="Calibri" w:hAnsi="Calibri" w:cs="Tahoma"/>
          <w:sz w:val="20"/>
        </w:rPr>
        <w:t>d</w:t>
      </w:r>
      <w:r w:rsidRPr="002D0371">
        <w:rPr>
          <w:rFonts w:ascii="Calibri" w:hAnsi="Calibri" w:cs="Tahoma"/>
          <w:sz w:val="20"/>
        </w:rPr>
        <w:t>, non-proprietary, a</w:t>
      </w:r>
      <w:r w:rsidR="009E0BD1">
        <w:rPr>
          <w:rFonts w:ascii="Calibri" w:hAnsi="Calibri" w:cs="Tahoma"/>
          <w:sz w:val="20"/>
        </w:rPr>
        <w:t>nd mutually agreed upon format.</w:t>
      </w:r>
    </w:p>
    <w:p w14:paraId="36676BC0" w14:textId="77777777" w:rsidR="00E55574" w:rsidRDefault="00E55574" w:rsidP="00E55574">
      <w:pPr>
        <w:widowControl w:val="0"/>
        <w:tabs>
          <w:tab w:val="left" w:pos="-90"/>
        </w:tabs>
        <w:spacing w:after="120"/>
        <w:ind w:left="720"/>
        <w:rPr>
          <w:rFonts w:ascii="Calibri" w:hAnsi="Calibri" w:cs="Tahoma"/>
          <w:sz w:val="20"/>
        </w:rPr>
      </w:pPr>
    </w:p>
    <w:p w14:paraId="2A252883" w14:textId="51B837D2" w:rsidR="00932DCF" w:rsidRPr="002D0371" w:rsidRDefault="00932DCF" w:rsidP="00974BE9">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25864C68" w14:textId="3EC662BB" w:rsidR="00932DCF" w:rsidRPr="00496AA0" w:rsidRDefault="00932DCF" w:rsidP="00496AA0">
      <w:pPr>
        <w:spacing w:after="120"/>
        <w:ind w:left="720"/>
        <w:rPr>
          <w:rFonts w:ascii="Calibri" w:hAnsi="Calibri" w:cs="Tahoma"/>
          <w:sz w:val="20"/>
        </w:rPr>
      </w:pPr>
    </w:p>
    <w:p w14:paraId="4B9F8EB5" w14:textId="18EC6742" w:rsidR="00932DCF" w:rsidRPr="002D0371" w:rsidRDefault="7629677D" w:rsidP="00974BE9">
      <w:pPr>
        <w:widowControl w:val="0"/>
        <w:numPr>
          <w:ilvl w:val="0"/>
          <w:numId w:val="1"/>
        </w:numPr>
        <w:tabs>
          <w:tab w:val="left" w:pos="0"/>
        </w:tabs>
        <w:overflowPunct/>
        <w:spacing w:after="120"/>
        <w:textAlignment w:val="auto"/>
        <w:rPr>
          <w:rFonts w:ascii="Calibri" w:hAnsi="Calibri" w:cs="Tahoma"/>
          <w:b/>
          <w:bCs/>
          <w:sz w:val="28"/>
          <w:szCs w:val="28"/>
        </w:rPr>
      </w:pPr>
      <w:r w:rsidRPr="002D0371">
        <w:rPr>
          <w:rFonts w:ascii="Calibri" w:hAnsi="Calibri" w:cs="Tahoma"/>
          <w:b/>
          <w:bCs/>
          <w:sz w:val="28"/>
          <w:szCs w:val="28"/>
        </w:rPr>
        <w:t xml:space="preserve">Pricing, Invoicing Method, Settlement </w:t>
      </w:r>
      <w:r w:rsidR="0563A51C" w:rsidRPr="002D0371">
        <w:rPr>
          <w:rFonts w:ascii="Calibri" w:hAnsi="Calibri" w:cs="Tahoma"/>
          <w:b/>
          <w:bCs/>
          <w:sz w:val="28"/>
          <w:szCs w:val="28"/>
        </w:rPr>
        <w:t>Method</w:t>
      </w:r>
      <w:r w:rsidRPr="002D0371">
        <w:rPr>
          <w:rFonts w:ascii="Calibri" w:hAnsi="Calibri" w:cs="Tahoma"/>
          <w:b/>
          <w:bCs/>
          <w:sz w:val="28"/>
          <w:szCs w:val="28"/>
        </w:rPr>
        <w:t xml:space="preserve"> and Terms</w:t>
      </w:r>
    </w:p>
    <w:p w14:paraId="1F6C7B20" w14:textId="77777777" w:rsidR="00B47D8E" w:rsidRDefault="00B47D8E" w:rsidP="00727575">
      <w:pPr>
        <w:widowControl w:val="0"/>
        <w:tabs>
          <w:tab w:val="left" w:pos="0"/>
        </w:tabs>
        <w:rPr>
          <w:rFonts w:ascii="Calibri" w:hAnsi="Calibri" w:cs="Tahoma"/>
          <w:b/>
          <w:sz w:val="20"/>
        </w:rPr>
      </w:pPr>
    </w:p>
    <w:p w14:paraId="10B60B45" w14:textId="098DC934" w:rsidR="00727575" w:rsidRDefault="00727575" w:rsidP="00727575">
      <w:pPr>
        <w:widowControl w:val="0"/>
        <w:tabs>
          <w:tab w:val="left" w:pos="0"/>
        </w:tabs>
        <w:rPr>
          <w:rFonts w:ascii="Calibri" w:hAnsi="Calibri" w:cs="Tahoma"/>
          <w:b/>
          <w:sz w:val="20"/>
        </w:rPr>
      </w:pPr>
      <w:r>
        <w:rPr>
          <w:rFonts w:ascii="Calibri" w:hAnsi="Calibri" w:cs="Tahoma"/>
          <w:b/>
          <w:sz w:val="20"/>
        </w:rPr>
        <w:t>Price</w:t>
      </w:r>
    </w:p>
    <w:p w14:paraId="32DB19CD" w14:textId="77777777" w:rsidR="00727575" w:rsidRDefault="00727575" w:rsidP="00727575">
      <w:pPr>
        <w:widowControl w:val="0"/>
        <w:tabs>
          <w:tab w:val="left" w:pos="0"/>
        </w:tabs>
        <w:rPr>
          <w:rFonts w:ascii="Calibri" w:hAnsi="Calibri" w:cs="Tahoma"/>
          <w:b/>
          <w:sz w:val="20"/>
        </w:rPr>
      </w:pPr>
    </w:p>
    <w:p w14:paraId="1A79AF1B" w14:textId="7CC5C690" w:rsidR="00727575" w:rsidRDefault="00727575" w:rsidP="00727575">
      <w:pPr>
        <w:widowControl w:val="0"/>
        <w:tabs>
          <w:tab w:val="left" w:pos="0"/>
        </w:tabs>
        <w:rPr>
          <w:rFonts w:ascii="Calibri" w:hAnsi="Calibri" w:cs="Tahoma"/>
          <w:b/>
          <w:sz w:val="20"/>
        </w:rPr>
      </w:pPr>
      <w:r>
        <w:rPr>
          <w:rFonts w:ascii="Calibri" w:hAnsi="Calibri" w:cs="Tahoma"/>
          <w:b/>
          <w:sz w:val="20"/>
        </w:rPr>
        <w:t xml:space="preserve">The price is firm for </w:t>
      </w:r>
      <w:r w:rsidR="00186606">
        <w:rPr>
          <w:rFonts w:ascii="Calibri" w:hAnsi="Calibri" w:cs="Tahoma"/>
          <w:b/>
          <w:sz w:val="20"/>
        </w:rPr>
        <w:t xml:space="preserve">01 </w:t>
      </w:r>
      <w:r>
        <w:rPr>
          <w:rFonts w:ascii="Calibri" w:hAnsi="Calibri" w:cs="Tahoma"/>
          <w:b/>
          <w:sz w:val="20"/>
        </w:rPr>
        <w:t>year.</w:t>
      </w:r>
    </w:p>
    <w:p w14:paraId="493F6C49" w14:textId="5F4F26BE" w:rsidR="00727575" w:rsidRPr="00297EAE" w:rsidRDefault="00727575" w:rsidP="00727575">
      <w:pPr>
        <w:widowControl w:val="0"/>
        <w:numPr>
          <w:ilvl w:val="2"/>
          <w:numId w:val="25"/>
        </w:numPr>
        <w:tabs>
          <w:tab w:val="left" w:pos="-90"/>
        </w:tabs>
        <w:ind w:left="1440"/>
        <w:rPr>
          <w:rFonts w:ascii="Calibri" w:hAnsi="Calibri" w:cs="Tahoma"/>
          <w:sz w:val="20"/>
        </w:rPr>
      </w:pPr>
      <w:r w:rsidRPr="00297EAE">
        <w:rPr>
          <w:rFonts w:ascii="Calibri" w:hAnsi="Calibri" w:cs="Tahoma"/>
          <w:sz w:val="20"/>
        </w:rPr>
        <w:t xml:space="preserve">If UC opts to renew </w:t>
      </w:r>
      <w:r w:rsidR="00186606">
        <w:rPr>
          <w:rFonts w:ascii="Calibri" w:hAnsi="Calibri" w:cs="Tahoma"/>
          <w:sz w:val="20"/>
        </w:rPr>
        <w:t xml:space="preserve">services, </w:t>
      </w:r>
      <w:r w:rsidRPr="006B2330">
        <w:rPr>
          <w:rFonts w:ascii="Calibri" w:hAnsi="Calibri" w:cs="Tahoma"/>
          <w:sz w:val="20"/>
        </w:rPr>
        <w:t>term licenses or Support and Maintenance</w:t>
      </w:r>
      <w:r w:rsidRPr="00297EAE">
        <w:rPr>
          <w:rFonts w:ascii="Calibri" w:hAnsi="Calibri" w:cs="Tahoma"/>
          <w:sz w:val="20"/>
        </w:rPr>
        <w:t>, the associated fee in the renewal period will be the low</w:t>
      </w:r>
      <w:r>
        <w:rPr>
          <w:rFonts w:ascii="Calibri" w:hAnsi="Calibri" w:cs="Tahoma"/>
          <w:sz w:val="20"/>
        </w:rPr>
        <w:t xml:space="preserve">est </w:t>
      </w:r>
      <w:r w:rsidRPr="00297EAE">
        <w:rPr>
          <w:rFonts w:ascii="Calibri" w:hAnsi="Calibri" w:cs="Tahoma"/>
          <w:sz w:val="20"/>
        </w:rPr>
        <w:t xml:space="preserve">of the following, provided that the associated fee will, at all times, be equal to or less than the lowest rate Supplier charges its other licensees for similar </w:t>
      </w:r>
      <w:r w:rsidRPr="006B2330">
        <w:rPr>
          <w:rFonts w:ascii="Calibri" w:hAnsi="Calibri" w:cs="Tahoma"/>
          <w:sz w:val="20"/>
        </w:rPr>
        <w:t>term licenses or Support and Maintenance</w:t>
      </w:r>
      <w:r w:rsidRPr="00297EAE">
        <w:rPr>
          <w:rFonts w:ascii="Calibri" w:hAnsi="Calibri" w:cs="Tahoma"/>
          <w:sz w:val="20"/>
        </w:rPr>
        <w:t xml:space="preserve">:  </w:t>
      </w:r>
      <w:proofErr w:type="spellStart"/>
      <w:r w:rsidRPr="00297EAE">
        <w:rPr>
          <w:rFonts w:ascii="Calibri" w:hAnsi="Calibri" w:cs="Tahoma"/>
          <w:sz w:val="20"/>
        </w:rPr>
        <w:t>i</w:t>
      </w:r>
      <w:proofErr w:type="spellEnd"/>
      <w:r w:rsidRPr="00297EAE">
        <w:rPr>
          <w:rFonts w:ascii="Calibri" w:hAnsi="Calibri" w:cs="Tahoma"/>
          <w:sz w:val="20"/>
        </w:rPr>
        <w:t>) Supplier’s then-current list price for the term licenses</w:t>
      </w:r>
      <w:r>
        <w:rPr>
          <w:rFonts w:ascii="Calibri" w:hAnsi="Calibri" w:cs="Tahoma"/>
          <w:sz w:val="20"/>
        </w:rPr>
        <w:t xml:space="preserve"> or </w:t>
      </w:r>
      <w:r w:rsidRPr="00297EAE">
        <w:rPr>
          <w:rFonts w:ascii="Calibri" w:hAnsi="Calibri" w:cs="Tahoma"/>
          <w:sz w:val="20"/>
        </w:rPr>
        <w:t xml:space="preserve">Support and Maintenance as of the renewal date; ii) the immediately preceding year’s fee plus the amount of the annual increase in the Consumer Price Index-All Index; and iii) the immediately preceding year’s fee plus </w:t>
      </w:r>
      <w:r w:rsidRPr="006B2330">
        <w:rPr>
          <w:rFonts w:ascii="Calibri" w:hAnsi="Calibri" w:cs="Tahoma"/>
          <w:sz w:val="20"/>
        </w:rPr>
        <w:t>three percent (3%)</w:t>
      </w:r>
      <w:r w:rsidRPr="00297EAE">
        <w:rPr>
          <w:rFonts w:ascii="Calibri" w:hAnsi="Calibri" w:cs="Tahoma"/>
          <w:sz w:val="20"/>
        </w:rPr>
        <w:t xml:space="preserve">. </w:t>
      </w:r>
    </w:p>
    <w:p w14:paraId="39CD36A4" w14:textId="77777777" w:rsidR="00727575" w:rsidRDefault="00727575" w:rsidP="008A5684">
      <w:pPr>
        <w:widowControl w:val="0"/>
        <w:tabs>
          <w:tab w:val="left" w:pos="0"/>
        </w:tabs>
        <w:spacing w:after="120"/>
        <w:rPr>
          <w:rFonts w:ascii="Calibri" w:hAnsi="Calibri" w:cs="Tahoma"/>
          <w:sz w:val="20"/>
          <w:u w:val="single"/>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6DBBC317" w14:textId="41E7FFA2"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7A8E25CE"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 xml:space="preserve">Net 30. </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56776EEC" w:rsidR="00BD1A1B" w:rsidRPr="002D0371" w:rsidRDefault="00BD1A1B" w:rsidP="00E04F9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Calibri"/>
          <w:b/>
          <w:sz w:val="28"/>
          <w:szCs w:val="28"/>
        </w:rPr>
      </w:pPr>
      <w:r w:rsidRPr="002D0371">
        <w:rPr>
          <w:rFonts w:ascii="Calibri" w:hAnsi="Calibri" w:cs="Calibri"/>
          <w:b/>
          <w:sz w:val="28"/>
          <w:szCs w:val="28"/>
        </w:rPr>
        <w:t>Notices</w:t>
      </w:r>
    </w:p>
    <w:p w14:paraId="0838272F" w14:textId="72AD4EF9"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186606">
        <w:rPr>
          <w:rFonts w:ascii="Calibri" w:hAnsi="Calibri"/>
          <w:b/>
          <w:bCs/>
          <w:sz w:val="20"/>
        </w:rPr>
        <w:t>SUPPLIER NAME</w:t>
      </w:r>
      <w:r w:rsidRPr="009C228B">
        <w:rPr>
          <w:rFonts w:ascii="Calibri" w:hAnsi="Calibri"/>
          <w:sz w:val="20"/>
        </w:rPr>
        <w:t xml:space="preserve">. </w:t>
      </w:r>
      <w:r>
        <w:rPr>
          <w:rFonts w:ascii="Calibri" w:hAnsi="Calibri"/>
          <w:sz w:val="20"/>
        </w:rPr>
        <w:t>If a 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12BA744C" w:rsidR="00BD1A1B" w:rsidRPr="002D0371" w:rsidRDefault="00BD1A1B" w:rsidP="00E04F9A">
      <w:pPr>
        <w:spacing w:after="120"/>
        <w:rPr>
          <w:rFonts w:ascii="Calibri" w:hAnsi="Calibri"/>
          <w:sz w:val="20"/>
        </w:rPr>
      </w:pPr>
      <w:r w:rsidRPr="002D0371">
        <w:rPr>
          <w:rFonts w:ascii="Calibri" w:hAnsi="Calibri"/>
          <w:sz w:val="20"/>
        </w:rPr>
        <w:lastRenderedPageBreak/>
        <w:t xml:space="preserve">To UC, regarding confirmed or suspected Breaches as defined under Appendix – </w:t>
      </w:r>
      <w:r w:rsidR="00CF6C5D">
        <w:rPr>
          <w:rFonts w:ascii="Calibri" w:hAnsi="Calibri"/>
          <w:sz w:val="20"/>
        </w:rPr>
        <w:t>Business Associat</w:t>
      </w:r>
      <w:r w:rsidR="00CF6C5D">
        <w:rPr>
          <w:rFonts w:ascii="Calibri" w:hAnsi="Calibri"/>
          <w:sz w:val="20"/>
        </w:rPr>
        <w:t xml:space="preserve">e and Appendix </w:t>
      </w:r>
      <w:r w:rsidRPr="002D0371">
        <w:rPr>
          <w:rFonts w:ascii="Calibri" w:hAnsi="Calibri"/>
          <w:sz w:val="20"/>
        </w:rPr>
        <w:t>Data Security:</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00B99D7D" w:rsidR="00727575" w:rsidRPr="002D0371" w:rsidRDefault="007B3746" w:rsidP="00727575">
            <w:pPr>
              <w:spacing w:after="120"/>
              <w:rPr>
                <w:rFonts w:ascii="Calibri" w:hAnsi="Calibri"/>
                <w:sz w:val="20"/>
              </w:rPr>
            </w:pPr>
            <w:hyperlink r:id="rId16" w:history="1">
              <w:r w:rsidR="00727575">
                <w:rPr>
                  <w:rStyle w:val="Hyperlink"/>
                </w:rPr>
                <w:t>hs-privacyprogram@ucdavis.edu</w:t>
              </w:r>
            </w:hyperlink>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6BDB7676" w:rsidR="00727575" w:rsidRPr="002D0371" w:rsidRDefault="00727575" w:rsidP="00727575">
            <w:pPr>
              <w:spacing w:after="120"/>
              <w:rPr>
                <w:rFonts w:ascii="Calibri" w:hAnsi="Calibri"/>
                <w:sz w:val="20"/>
              </w:rPr>
            </w:pPr>
            <w:r w:rsidRPr="009F79F0">
              <w:rPr>
                <w:rFonts w:ascii="Calibri" w:hAnsi="Calibri"/>
                <w:color w:val="1F497D"/>
                <w:sz w:val="20"/>
                <w:u w:val="single"/>
              </w:rPr>
              <w:t>Sherman Building, 2300 Stockton Blvd, Sacramento, CA 95817</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BD1A1B" w:rsidRPr="002D0371" w:rsidRDefault="00BD1A1B" w:rsidP="00095407">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547FA5DD" w:rsidR="00BD1A1B" w:rsidRPr="002D0371" w:rsidRDefault="00727575" w:rsidP="002807AB">
            <w:pPr>
              <w:rPr>
                <w:rFonts w:ascii="Calibri" w:hAnsi="Calibri"/>
                <w:sz w:val="20"/>
              </w:rPr>
            </w:pPr>
            <w:r>
              <w:rPr>
                <w:rFonts w:ascii="Calibri" w:hAnsi="Calibri"/>
                <w:sz w:val="20"/>
              </w:rPr>
              <w:t>Benjamin Joseph</w:t>
            </w:r>
          </w:p>
        </w:tc>
      </w:tr>
      <w:tr w:rsidR="00295617"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295617" w:rsidRPr="002D0371" w:rsidRDefault="00295617" w:rsidP="002807AB">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43A4E679" w:rsidR="00295617" w:rsidRPr="002D0371" w:rsidRDefault="00727575" w:rsidP="002807AB">
            <w:pPr>
              <w:rPr>
                <w:rFonts w:ascii="Calibri" w:hAnsi="Calibri"/>
                <w:sz w:val="20"/>
              </w:rPr>
            </w:pPr>
            <w:r>
              <w:rPr>
                <w:rFonts w:ascii="Calibri" w:hAnsi="Calibri"/>
                <w:sz w:val="20"/>
              </w:rPr>
              <w:t>916-734-4364</w:t>
            </w:r>
          </w:p>
        </w:tc>
      </w:tr>
      <w:tr w:rsidR="00BD1A1B"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BD1A1B" w:rsidRPr="002D0371" w:rsidRDefault="00BD1A1B" w:rsidP="002807AB">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4764C2B0" w:rsidR="00BD1A1B" w:rsidRPr="002D0371" w:rsidRDefault="007B3746" w:rsidP="002807AB">
            <w:pPr>
              <w:rPr>
                <w:rFonts w:ascii="Calibri" w:hAnsi="Calibri"/>
                <w:sz w:val="20"/>
              </w:rPr>
            </w:pPr>
            <w:hyperlink r:id="rId17" w:history="1">
              <w:r w:rsidR="00727575" w:rsidRPr="00836FA5">
                <w:rPr>
                  <w:rStyle w:val="Hyperlink"/>
                  <w:rFonts w:ascii="Calibri" w:hAnsi="Calibri"/>
                  <w:sz w:val="20"/>
                </w:rPr>
                <w:t>bmjoseph@ucdavis.edu</w:t>
              </w:r>
            </w:hyperlink>
          </w:p>
        </w:tc>
      </w:tr>
      <w:tr w:rsidR="00BD1A1B"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BD1A1B" w:rsidRPr="002D0371" w:rsidRDefault="00BD1A1B" w:rsidP="002807AB">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22E69D90" w:rsidR="00BD1A1B" w:rsidRPr="002D0371" w:rsidRDefault="00727575" w:rsidP="002807AB">
            <w:pPr>
              <w:rPr>
                <w:rFonts w:ascii="Calibri" w:hAnsi="Calibri"/>
                <w:sz w:val="20"/>
              </w:rPr>
            </w:pPr>
            <w:r>
              <w:rPr>
                <w:rFonts w:ascii="Calibri" w:hAnsi="Calibri"/>
                <w:sz w:val="20"/>
              </w:rPr>
              <w:t>4800 2</w:t>
            </w:r>
            <w:r>
              <w:rPr>
                <w:rFonts w:ascii="Calibri" w:hAnsi="Calibri"/>
                <w:sz w:val="20"/>
                <w:vertAlign w:val="superscript"/>
              </w:rPr>
              <w:t>nd</w:t>
            </w:r>
            <w:r>
              <w:rPr>
                <w:rFonts w:ascii="Calibri" w:hAnsi="Calibri"/>
                <w:sz w:val="20"/>
              </w:rPr>
              <w:t xml:space="preserve"> Ave, Suite 3010, Sacramento, CA 95817</w:t>
            </w:r>
          </w:p>
        </w:tc>
      </w:tr>
      <w:tr w:rsidR="00BD1A1B"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BD1A1B" w:rsidRPr="002D0371" w:rsidRDefault="00BD1A1B" w:rsidP="002807AB">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BD1A1B" w:rsidRPr="002D0371" w:rsidRDefault="00BD1A1B" w:rsidP="002807AB">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9F478C">
        <w:rPr>
          <w:rFonts w:ascii="Calibri" w:hAnsi="Calibri"/>
          <w:sz w:val="20"/>
          <w:highlight w:val="yellow"/>
        </w:rPr>
        <w:t>To Supplier:</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5A871D6D"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3EF7B37" w14:textId="77777777" w:rsidR="00E55574" w:rsidRPr="00E55574" w:rsidRDefault="00E55574"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69565D">
      <w:pPr>
        <w:pStyle w:val="ListParagraph"/>
        <w:widowControl w:val="0"/>
        <w:numPr>
          <w:ilvl w:val="0"/>
          <w:numId w:val="1"/>
        </w:numPr>
        <w:tabs>
          <w:tab w:val="left" w:pos="0"/>
        </w:tabs>
        <w:autoSpaceDE w:val="0"/>
        <w:autoSpaceDN w:val="0"/>
        <w:adjustRightInd w:val="0"/>
        <w:spacing w:before="120" w:after="120"/>
        <w:contextualSpacing w:val="0"/>
        <w:jc w:val="both"/>
        <w:rPr>
          <w:rFonts w:ascii="Calibri" w:hAnsi="Calibri" w:cs="Tahoma"/>
          <w:sz w:val="28"/>
          <w:szCs w:val="28"/>
        </w:rPr>
      </w:pPr>
      <w:r w:rsidRPr="002D0371">
        <w:rPr>
          <w:rFonts w:ascii="Calibri" w:hAnsi="Calibri" w:cs="Tahoma"/>
          <w:b/>
          <w:sz w:val="28"/>
          <w:szCs w:val="28"/>
        </w:rPr>
        <w:t>Insurance</w:t>
      </w:r>
      <w:r w:rsidRPr="002D0371">
        <w:rPr>
          <w:rFonts w:ascii="Calibri" w:hAnsi="Calibri" w:cs="Tahoma"/>
          <w:sz w:val="28"/>
          <w:szCs w:val="28"/>
        </w:rPr>
        <w:t xml:space="preserve"> </w:t>
      </w:r>
    </w:p>
    <w:p w14:paraId="7FB4FB3D" w14:textId="35749417" w:rsidR="003B7501" w:rsidRDefault="00F04050" w:rsidP="00CF6C5D">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9F478C" w:rsidRPr="009F478C">
        <w:rPr>
          <w:rFonts w:ascii="Calibri" w:hAnsi="Calibri"/>
          <w:sz w:val="20"/>
          <w:highlight w:val="yellow"/>
        </w:rPr>
        <w:t>XXXXX</w:t>
      </w:r>
    </w:p>
    <w:p w14:paraId="4E1CF1F1" w14:textId="77777777" w:rsidR="00E55574" w:rsidRPr="002D0371" w:rsidRDefault="00E55574" w:rsidP="001A6623">
      <w:pPr>
        <w:widowControl w:val="0"/>
        <w:spacing w:after="120"/>
        <w:rPr>
          <w:rFonts w:ascii="Calibri" w:hAnsi="Calibri" w:cs="Tahoma"/>
          <w:sz w:val="20"/>
        </w:rPr>
      </w:pPr>
    </w:p>
    <w:p w14:paraId="25D480DB" w14:textId="492379F4" w:rsidR="00186606" w:rsidRDefault="00186606" w:rsidP="00186606">
      <w:pPr>
        <w:pStyle w:val="ListParagraph"/>
        <w:widowControl w:val="0"/>
        <w:numPr>
          <w:ilvl w:val="0"/>
          <w:numId w:val="1"/>
        </w:numPr>
        <w:tabs>
          <w:tab w:val="left" w:pos="0"/>
        </w:tabs>
        <w:rPr>
          <w:rFonts w:ascii="Calibri" w:hAnsi="Calibri" w:cs="Tahoma"/>
          <w:b/>
          <w:sz w:val="28"/>
          <w:szCs w:val="28"/>
        </w:rPr>
      </w:pPr>
      <w:r w:rsidRPr="00186606">
        <w:rPr>
          <w:rFonts w:ascii="Calibri" w:hAnsi="Calibri" w:cs="Tahoma"/>
          <w:b/>
          <w:sz w:val="28"/>
          <w:szCs w:val="28"/>
        </w:rPr>
        <w:t>Intellectual Property, Copyright</w:t>
      </w:r>
      <w:r w:rsidR="00CF6C5D">
        <w:rPr>
          <w:rFonts w:ascii="Calibri" w:hAnsi="Calibri" w:cs="Tahoma"/>
          <w:b/>
          <w:sz w:val="28"/>
          <w:szCs w:val="28"/>
        </w:rPr>
        <w:t xml:space="preserve">, </w:t>
      </w:r>
      <w:r w:rsidRPr="00186606">
        <w:rPr>
          <w:rFonts w:ascii="Calibri" w:hAnsi="Calibri" w:cs="Tahoma"/>
          <w:b/>
          <w:sz w:val="28"/>
          <w:szCs w:val="28"/>
        </w:rPr>
        <w:t>Patents</w:t>
      </w:r>
      <w:r w:rsidR="00CF6C5D">
        <w:rPr>
          <w:rFonts w:ascii="Calibri" w:hAnsi="Calibri" w:cs="Tahoma"/>
          <w:b/>
          <w:sz w:val="28"/>
          <w:szCs w:val="28"/>
        </w:rPr>
        <w:t xml:space="preserve"> and Data Rights</w:t>
      </w:r>
    </w:p>
    <w:p w14:paraId="2861326C" w14:textId="77777777" w:rsidR="00186606" w:rsidRDefault="00186606" w:rsidP="00186606">
      <w:pPr>
        <w:widowControl w:val="0"/>
        <w:tabs>
          <w:tab w:val="left" w:pos="0"/>
        </w:tabs>
        <w:rPr>
          <w:rFonts w:ascii="Calibri" w:hAnsi="Calibri" w:cs="Tahoma"/>
          <w:sz w:val="20"/>
        </w:rPr>
      </w:pPr>
    </w:p>
    <w:p w14:paraId="6D8A2A2B" w14:textId="6815D38A" w:rsidR="00186606" w:rsidRPr="00186606" w:rsidRDefault="00186606" w:rsidP="00186606">
      <w:pPr>
        <w:widowControl w:val="0"/>
        <w:tabs>
          <w:tab w:val="left" w:pos="0"/>
        </w:tabs>
        <w:rPr>
          <w:rFonts w:ascii="Calibri" w:hAnsi="Calibri" w:cs="Tahoma"/>
          <w:b/>
          <w:sz w:val="28"/>
          <w:szCs w:val="28"/>
        </w:rPr>
      </w:pPr>
      <w:r w:rsidRPr="00186606">
        <w:rPr>
          <w:rFonts w:ascii="Calibri" w:hAnsi="Calibri" w:cs="Tahoma"/>
          <w:sz w:val="20"/>
        </w:rPr>
        <w:t>The Goods and/or Services involve Work Made for Hire</w:t>
      </w:r>
    </w:p>
    <w:p w14:paraId="6880AC2E" w14:textId="77777777" w:rsidR="00186606" w:rsidRPr="00186606" w:rsidRDefault="00186606" w:rsidP="00186606">
      <w:pPr>
        <w:widowControl w:val="0"/>
        <w:tabs>
          <w:tab w:val="left" w:pos="0"/>
        </w:tabs>
        <w:rPr>
          <w:rFonts w:ascii="Calibri" w:hAnsi="Calibri" w:cs="Tahoma"/>
          <w:sz w:val="20"/>
        </w:rPr>
      </w:pPr>
    </w:p>
    <w:p w14:paraId="2570EEB2" w14:textId="0B3CD289" w:rsidR="00186606" w:rsidRDefault="00186606"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p>
    <w:p w14:paraId="37658AA4" w14:textId="33D8122E" w:rsidR="00186606" w:rsidRDefault="00186606" w:rsidP="00CF6C5D">
      <w:pPr>
        <w:widowControl w:val="0"/>
        <w:tabs>
          <w:tab w:val="left" w:pos="0"/>
        </w:tabs>
        <w:spacing w:after="240"/>
        <w:rPr>
          <w:rFonts w:ascii="Calibri" w:hAnsi="Calibri" w:cs="Tahoma"/>
          <w:sz w:val="20"/>
        </w:rPr>
      </w:pPr>
      <w:r w:rsidRPr="001B28E7">
        <w:rPr>
          <w:rFonts w:ascii="Calibri" w:hAnsi="Calibri" w:cs="Tahoma"/>
          <w:sz w:val="20"/>
        </w:rPr>
        <w:t>The Services do not involve temporary or supplementary staffing,</w:t>
      </w:r>
      <w:r>
        <w:rPr>
          <w:rFonts w:ascii="Calibri" w:hAnsi="Calibri" w:cs="Tahoma"/>
          <w:sz w:val="20"/>
        </w:rPr>
        <w:t xml:space="preserve"> and</w:t>
      </w:r>
      <w:r w:rsidRPr="001B28E7">
        <w:rPr>
          <w:rFonts w:ascii="Calibri" w:hAnsi="Calibri" w:cs="Tahoma"/>
          <w:sz w:val="20"/>
        </w:rPr>
        <w:t xml:space="preserve"> they are not subject to the PPACA warranties in the T&amp;Cs.</w:t>
      </w:r>
    </w:p>
    <w:p w14:paraId="295E5DB9" w14:textId="7D9A0802" w:rsidR="00186606" w:rsidRDefault="00186606"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r w:rsidRPr="002D0371">
        <w:rPr>
          <w:rFonts w:ascii="Calibri" w:hAnsi="Calibri" w:cs="Tahoma"/>
          <w:b/>
          <w:sz w:val="28"/>
          <w:szCs w:val="28"/>
        </w:rPr>
        <w:t xml:space="preserve"> </w:t>
      </w:r>
    </w:p>
    <w:p w14:paraId="193237EE" w14:textId="07B717CB" w:rsidR="00186606" w:rsidRDefault="00186606" w:rsidP="00186606">
      <w:pPr>
        <w:widowControl w:val="0"/>
        <w:tabs>
          <w:tab w:val="left" w:pos="0"/>
        </w:tabs>
        <w:spacing w:after="120"/>
        <w:rPr>
          <w:rFonts w:ascii="Calibri" w:hAnsi="Calibri" w:cs="Tahoma"/>
          <w:sz w:val="20"/>
        </w:rPr>
      </w:pPr>
      <w:r w:rsidRPr="00186606">
        <w:rPr>
          <w:rFonts w:ascii="Calibri" w:hAnsi="Calibri" w:cs="Tahoma"/>
          <w:sz w:val="20"/>
        </w:rPr>
        <w:t>Supplier is not required to pay prevailing wages when providing the Services</w:t>
      </w:r>
      <w:r w:rsidRPr="00186606">
        <w:rPr>
          <w:rFonts w:ascii="Calibri" w:hAnsi="Calibri" w:cs="Tahoma"/>
          <w:sz w:val="20"/>
        </w:rPr>
        <w:t>.</w:t>
      </w:r>
    </w:p>
    <w:p w14:paraId="161889F6" w14:textId="77777777" w:rsidR="00186606" w:rsidRPr="00186606" w:rsidRDefault="00186606" w:rsidP="00186606">
      <w:pPr>
        <w:widowControl w:val="0"/>
        <w:tabs>
          <w:tab w:val="left" w:pos="0"/>
        </w:tabs>
        <w:spacing w:after="120"/>
        <w:rPr>
          <w:rFonts w:ascii="Calibri" w:hAnsi="Calibri" w:cs="Tahoma"/>
          <w:b/>
          <w:sz w:val="28"/>
          <w:szCs w:val="28"/>
        </w:rPr>
      </w:pPr>
    </w:p>
    <w:p w14:paraId="43F4D0FB" w14:textId="7BC1FB19" w:rsidR="00186606" w:rsidRDefault="00186606"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Pr>
          <w:rFonts w:ascii="Calibri" w:hAnsi="Calibri" w:cs="Tahoma"/>
          <w:b/>
          <w:sz w:val="28"/>
          <w:szCs w:val="28"/>
        </w:rPr>
        <w:lastRenderedPageBreak/>
        <w:t>Fair Wage/Fair Work</w:t>
      </w:r>
      <w:r w:rsidRPr="002D0371">
        <w:rPr>
          <w:rFonts w:ascii="Calibri" w:hAnsi="Calibri" w:cs="Tahoma"/>
          <w:b/>
          <w:sz w:val="28"/>
          <w:szCs w:val="28"/>
        </w:rPr>
        <w:t xml:space="preserve"> </w:t>
      </w:r>
    </w:p>
    <w:p w14:paraId="5BCADA0D" w14:textId="080491FE" w:rsidR="00186606" w:rsidRDefault="00186606" w:rsidP="00CF6C5D">
      <w:pPr>
        <w:widowControl w:val="0"/>
        <w:tabs>
          <w:tab w:val="left" w:pos="0"/>
        </w:tabs>
        <w:spacing w:after="240"/>
        <w:rPr>
          <w:rFonts w:ascii="Calibri" w:hAnsi="Calibri" w:cs="Tahoma"/>
          <w:sz w:val="20"/>
        </w:rPr>
      </w:pPr>
      <w:r w:rsidRPr="001B28E7">
        <w:rPr>
          <w:rFonts w:ascii="Calibri" w:hAnsi="Calibri" w:cs="Tahoma"/>
          <w:sz w:val="20"/>
        </w:rPr>
        <w:t xml:space="preserve">Supplier is required to pay </w:t>
      </w:r>
      <w:r>
        <w:rPr>
          <w:rFonts w:ascii="Calibri" w:hAnsi="Calibri" w:cs="Tahoma"/>
          <w:sz w:val="20"/>
        </w:rPr>
        <w:t xml:space="preserve">the UC Fair Wage </w:t>
      </w:r>
      <w:r w:rsidRPr="00577147">
        <w:rPr>
          <w:rFonts w:ascii="Calibri" w:hAnsi="Calibri" w:cs="Tahoma"/>
          <w:sz w:val="20"/>
        </w:rPr>
        <w:t>(defined as $13 per hour as of 10/1/15, $14 per hour as of 10/1/16, and $15 per hour as of 10/1/17)</w:t>
      </w:r>
      <w:r w:rsidRPr="001B28E7">
        <w:rPr>
          <w:rFonts w:ascii="Calibri" w:hAnsi="Calibri" w:cs="Tahoma"/>
          <w:sz w:val="20"/>
        </w:rPr>
        <w:t xml:space="preserve"> when providing the Services</w:t>
      </w:r>
      <w:r>
        <w:rPr>
          <w:rFonts w:ascii="Calibri" w:hAnsi="Calibri" w:cs="Tahoma"/>
          <w:sz w:val="20"/>
        </w:rPr>
        <w:t>.</w:t>
      </w:r>
    </w:p>
    <w:p w14:paraId="5E3C0C48" w14:textId="77777777" w:rsidR="00186606" w:rsidRDefault="00186606" w:rsidP="00186606">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DD7893">
        <w:rPr>
          <w:rFonts w:ascii="Calibri" w:hAnsi="Calibri" w:cs="Tahoma"/>
          <w:b/>
          <w:sz w:val="28"/>
          <w:szCs w:val="28"/>
        </w:rPr>
        <w:t>Restriction Relating to Consulting Services or Similar Contracts –</w:t>
      </w:r>
      <w:r w:rsidRPr="00186606">
        <w:rPr>
          <w:rFonts w:ascii="Calibri" w:hAnsi="Calibri" w:cs="Tahoma"/>
          <w:b/>
          <w:sz w:val="28"/>
          <w:szCs w:val="28"/>
        </w:rPr>
        <w:t xml:space="preserve"> Follow-on Contracts  </w:t>
      </w:r>
    </w:p>
    <w:p w14:paraId="365999F4" w14:textId="6AE16DB7" w:rsidR="00186606" w:rsidRPr="00CF6C5D" w:rsidRDefault="00186606" w:rsidP="00CF6C5D">
      <w:pPr>
        <w:widowControl w:val="0"/>
        <w:tabs>
          <w:tab w:val="left" w:pos="0"/>
        </w:tabs>
        <w:spacing w:after="240"/>
        <w:rPr>
          <w:rFonts w:ascii="Calibri" w:hAnsi="Calibri" w:cs="Tahoma"/>
          <w:sz w:val="20"/>
        </w:rPr>
      </w:pPr>
      <w:r w:rsidRPr="00CF6C5D">
        <w:rPr>
          <w:rFonts w:ascii="Calibri" w:hAnsi="Calibri" w:cs="Tahoma"/>
          <w:sz w:val="20"/>
        </w:rPr>
        <w:t xml:space="preserve">Please note a Supplier that is awarded a consulting services or similar contract cannot later submit a bid or be considered for any work “required, suggested, or otherwise deemed appropriate” as the </w:t>
      </w:r>
      <w:proofErr w:type="gramStart"/>
      <w:r w:rsidRPr="00CF6C5D">
        <w:rPr>
          <w:rFonts w:ascii="Calibri" w:hAnsi="Calibri" w:cs="Tahoma"/>
          <w:sz w:val="20"/>
        </w:rPr>
        <w:t>end product</w:t>
      </w:r>
      <w:proofErr w:type="gramEnd"/>
      <w:r w:rsidRPr="00CF6C5D">
        <w:rPr>
          <w:rFonts w:ascii="Calibri" w:hAnsi="Calibri" w:cs="Tahoma"/>
          <w:sz w:val="20"/>
        </w:rPr>
        <w:t xml:space="preserve"> of the Services (</w:t>
      </w:r>
      <w:r w:rsidRPr="00CF6C5D">
        <w:rPr>
          <w:rFonts w:ascii="Calibri" w:hAnsi="Calibri" w:cs="Tahoma"/>
          <w:i/>
          <w:sz w:val="20"/>
        </w:rPr>
        <w:t>see</w:t>
      </w:r>
      <w:r w:rsidRPr="00CF6C5D">
        <w:rPr>
          <w:rFonts w:ascii="Calibri" w:hAnsi="Calibri" w:cs="Tahoma"/>
          <w:sz w:val="20"/>
        </w:rPr>
        <w:t xml:space="preserve"> Public Contract Code Section 10515)</w:t>
      </w:r>
      <w:r w:rsidRPr="00CF6C5D">
        <w:rPr>
          <w:rFonts w:ascii="Calibri" w:hAnsi="Calibri" w:cs="Tahoma"/>
          <w:sz w:val="20"/>
        </w:rPr>
        <w:t>.</w:t>
      </w:r>
    </w:p>
    <w:p w14:paraId="49582942" w14:textId="0B87A4F6" w:rsidR="00932DCF"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44DC4174" w:rsidR="00836F26" w:rsidRPr="00421034" w:rsidRDefault="00CF6C5D"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Professional Services</w:t>
      </w:r>
      <w:r w:rsidR="00E55574" w:rsidRPr="00E55574">
        <w:rPr>
          <w:rFonts w:ascii="Calibri" w:eastAsia="Times New Roman" w:hAnsi="Calibri" w:cs="Tahoma"/>
          <w:sz w:val="20"/>
          <w:szCs w:val="20"/>
        </w:rPr>
        <w:t xml:space="preserve"> Agreement # </w:t>
      </w:r>
      <w:r>
        <w:rPr>
          <w:rFonts w:ascii="Calibri" w:eastAsia="Times New Roman" w:hAnsi="Calibri" w:cs="Tahoma"/>
          <w:sz w:val="20"/>
          <w:szCs w:val="20"/>
        </w:rPr>
        <w:t>5783</w:t>
      </w:r>
    </w:p>
    <w:p w14:paraId="7A500306" w14:textId="3F88CD1E"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 of Purchase</w:t>
      </w:r>
      <w:r w:rsidR="00E55574" w:rsidRPr="00E55574">
        <w:rPr>
          <w:rFonts w:ascii="Calibri" w:eastAsia="Times New Roman" w:hAnsi="Calibri" w:cs="Tahoma"/>
          <w:sz w:val="20"/>
          <w:szCs w:val="20"/>
        </w:rPr>
        <w:t xml:space="preserve"> version 12-14-21</w:t>
      </w:r>
    </w:p>
    <w:p w14:paraId="08217523" w14:textId="77777777" w:rsidR="00CF6C5D" w:rsidRDefault="00CF6C5D"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Business Associate (HIPAA) version 08-10-21</w:t>
      </w:r>
    </w:p>
    <w:p w14:paraId="6A90F703" w14:textId="368E0A55"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w:t>
      </w:r>
      <w:r w:rsidR="00E55574" w:rsidRPr="00E55574">
        <w:rPr>
          <w:rFonts w:ascii="Calibri" w:eastAsia="Times New Roman" w:hAnsi="Calibri" w:cs="Tahoma"/>
          <w:sz w:val="20"/>
          <w:szCs w:val="20"/>
        </w:rPr>
        <w:t xml:space="preserve"> version 08-20-21</w:t>
      </w:r>
      <w:r w:rsidRPr="0021537C">
        <w:rPr>
          <w:rFonts w:ascii="Calibri" w:eastAsia="Times New Roman" w:hAnsi="Calibri" w:cs="Tahoma"/>
          <w:sz w:val="20"/>
          <w:szCs w:val="20"/>
        </w:rPr>
        <w:t>]</w:t>
      </w:r>
    </w:p>
    <w:p w14:paraId="64F2F10F" w14:textId="022F42B0"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Statement of Work</w:t>
      </w:r>
    </w:p>
    <w:p w14:paraId="5716B7BF" w14:textId="53A25762" w:rsidR="00836F26" w:rsidRDefault="00CF6C5D"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Supplier’s RFP response</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Entire Agreement</w:t>
      </w:r>
    </w:p>
    <w:p w14:paraId="282DB266" w14:textId="096A5655" w:rsidR="00393493" w:rsidRPr="002D0371"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2B78374B" w14:textId="74E3BFB0" w:rsidR="00932DCF" w:rsidRPr="001A6623"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b/>
          <w:sz w:val="20"/>
        </w:rPr>
        <w:t>The Agreement can only be signed by an authorized representative with the proper delegation of authority.</w:t>
      </w:r>
      <w:r w:rsidR="00604898">
        <w:rPr>
          <w:rFonts w:ascii="Calibri" w:hAnsi="Calibri" w:cs="Tahoma"/>
          <w:b/>
          <w:sz w:val="20"/>
        </w:rPr>
        <w:t xml:space="preserve"> </w:t>
      </w:r>
    </w:p>
    <w:p w14:paraId="18FD059C" w14:textId="669B4023"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9F478C" w:rsidRPr="009F478C">
        <w:rPr>
          <w:rFonts w:ascii="Calibri" w:hAnsi="Calibri" w:cs="Tahoma"/>
          <w:b/>
          <w:sz w:val="20"/>
          <w:highlight w:val="yellow"/>
        </w:rPr>
        <w:t>XXXXXX</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8"/>
      <w:footerReference w:type="default" r:id="rId19"/>
      <w:headerReference w:type="first" r:id="rId20"/>
      <w:footerReference w:type="first" r:id="rId21"/>
      <w:pgSz w:w="12240" w:h="15840" w:code="1"/>
      <w:pgMar w:top="2160" w:right="1080" w:bottom="720" w:left="1080" w:header="720" w:footer="720" w:gutter="0"/>
      <w:cols w:space="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jamin M Joseph" w:date="2023-01-04T17:20:00Z" w:initials="BMJ">
    <w:p w14:paraId="54ED43BC" w14:textId="77777777" w:rsidR="00186606" w:rsidRDefault="00186606" w:rsidP="00186606">
      <w:pPr>
        <w:pStyle w:val="CommentText"/>
      </w:pPr>
      <w:r>
        <w:rPr>
          <w:rStyle w:val="CommentReference"/>
        </w:rPr>
        <w:annotationRef/>
      </w:r>
      <w:r>
        <w:t>Does RCO mean Revenue Cycle Operations?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ED43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033E6" w16cex:dateUtc="2023-01-05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ED43BC" w16cid:durableId="27603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B61E" w14:textId="3EA06223" w:rsidR="00BC53B9" w:rsidRPr="001C7855" w:rsidRDefault="001C7855" w:rsidP="00D164EB">
    <w:pPr>
      <w:widowControl w:val="0"/>
      <w:tabs>
        <w:tab w:val="left" w:pos="0"/>
        <w:tab w:val="left" w:pos="558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4C97A4E1" wp14:editId="709D21AE">
          <wp:extent cx="1779905" cy="585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CF6C5D">
      <w:rPr>
        <w:rFonts w:ascii="Arial" w:hAnsi="Arial" w:cs="Arial"/>
        <w:sz w:val="28"/>
        <w:szCs w:val="28"/>
      </w:rPr>
      <w:t xml:space="preserve">                         Professional</w:t>
    </w:r>
    <w:r w:rsidR="00D164EB">
      <w:rPr>
        <w:rFonts w:ascii="Arial" w:hAnsi="Arial" w:cs="Arial"/>
        <w:sz w:val="28"/>
        <w:szCs w:val="28"/>
      </w:rPr>
      <w:t xml:space="preserve"> Services</w:t>
    </w:r>
    <w:r>
      <w:rPr>
        <w:rFonts w:ascii="Arial" w:hAnsi="Arial" w:cs="Arial"/>
        <w:sz w:val="28"/>
        <w:szCs w:val="28"/>
      </w:rPr>
      <w:t xml:space="preserve"> Agreement #</w:t>
    </w:r>
    <w:r w:rsidR="00E55574">
      <w:rPr>
        <w:rFonts w:ascii="Arial" w:hAnsi="Arial" w:cs="Arial"/>
        <w:sz w:val="28"/>
        <w:szCs w:val="28"/>
      </w:rPr>
      <w:t xml:space="preserve"> </w:t>
    </w:r>
    <w:r w:rsidR="00CF6C5D">
      <w:rPr>
        <w:rFonts w:ascii="Arial" w:hAnsi="Arial" w:cs="Arial"/>
        <w:sz w:val="28"/>
        <w:szCs w:val="28"/>
      </w:rPr>
      <w:t>5783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3E7FD23B">
          <wp:extent cx="1779905" cy="585470"/>
          <wp:effectExtent l="19050" t="19050" r="1079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17" w15:restartNumberingAfterBreak="0">
    <w:nsid w:val="4E7070A8"/>
    <w:multiLevelType w:val="hybridMultilevel"/>
    <w:tmpl w:val="497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16"/>
  </w:num>
  <w:num w:numId="2" w16cid:durableId="1127547872">
    <w:abstractNumId w:val="24"/>
  </w:num>
  <w:num w:numId="3" w16cid:durableId="193856592">
    <w:abstractNumId w:val="8"/>
  </w:num>
  <w:num w:numId="4" w16cid:durableId="572928835">
    <w:abstractNumId w:val="15"/>
  </w:num>
  <w:num w:numId="5" w16cid:durableId="495388443">
    <w:abstractNumId w:val="14"/>
  </w:num>
  <w:num w:numId="6" w16cid:durableId="511460356">
    <w:abstractNumId w:val="5"/>
  </w:num>
  <w:num w:numId="7" w16cid:durableId="223761662">
    <w:abstractNumId w:val="21"/>
  </w:num>
  <w:num w:numId="8" w16cid:durableId="88431383">
    <w:abstractNumId w:val="9"/>
  </w:num>
  <w:num w:numId="9" w16cid:durableId="536939363">
    <w:abstractNumId w:val="26"/>
  </w:num>
  <w:num w:numId="10" w16cid:durableId="1809084452">
    <w:abstractNumId w:val="11"/>
  </w:num>
  <w:num w:numId="11" w16cid:durableId="821971303">
    <w:abstractNumId w:val="4"/>
  </w:num>
  <w:num w:numId="12" w16cid:durableId="189076224">
    <w:abstractNumId w:val="13"/>
  </w:num>
  <w:num w:numId="13" w16cid:durableId="1817411301">
    <w:abstractNumId w:val="19"/>
  </w:num>
  <w:num w:numId="14" w16cid:durableId="1309899381">
    <w:abstractNumId w:val="27"/>
  </w:num>
  <w:num w:numId="15" w16cid:durableId="1238244350">
    <w:abstractNumId w:val="12"/>
  </w:num>
  <w:num w:numId="16" w16cid:durableId="364063205">
    <w:abstractNumId w:val="6"/>
  </w:num>
  <w:num w:numId="17" w16cid:durableId="625310086">
    <w:abstractNumId w:val="28"/>
  </w:num>
  <w:num w:numId="18" w16cid:durableId="1544948761">
    <w:abstractNumId w:val="7"/>
  </w:num>
  <w:num w:numId="19" w16cid:durableId="1033194854">
    <w:abstractNumId w:val="1"/>
  </w:num>
  <w:num w:numId="20" w16cid:durableId="1270161403">
    <w:abstractNumId w:val="10"/>
  </w:num>
  <w:num w:numId="21" w16cid:durableId="860705753">
    <w:abstractNumId w:val="25"/>
  </w:num>
  <w:num w:numId="22" w16cid:durableId="448086024">
    <w:abstractNumId w:val="2"/>
  </w:num>
  <w:num w:numId="23" w16cid:durableId="1230311835">
    <w:abstractNumId w:val="3"/>
  </w:num>
  <w:num w:numId="24" w16cid:durableId="1902327012">
    <w:abstractNumId w:val="20"/>
  </w:num>
  <w:num w:numId="25" w16cid:durableId="1498767056">
    <w:abstractNumId w:val="18"/>
  </w:num>
  <w:num w:numId="26" w16cid:durableId="1911386321">
    <w:abstractNumId w:val="29"/>
  </w:num>
  <w:num w:numId="27" w16cid:durableId="87163457">
    <w:abstractNumId w:val="0"/>
  </w:num>
  <w:num w:numId="28" w16cid:durableId="1325352153">
    <w:abstractNumId w:val="22"/>
  </w:num>
  <w:num w:numId="29" w16cid:durableId="322129609">
    <w:abstractNumId w:val="17"/>
  </w:num>
  <w:num w:numId="30" w16cid:durableId="586621510">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M Joseph">
    <w15:presenceInfo w15:providerId="AD" w15:userId="S::bmjoseph@ucdavis.edu::d80c444c-223a-4643-8fd1-4d9c5110a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B00"/>
    <w:rsid w:val="000C1841"/>
    <w:rsid w:val="000C1B3F"/>
    <w:rsid w:val="000C642C"/>
    <w:rsid w:val="000C71DD"/>
    <w:rsid w:val="000D537F"/>
    <w:rsid w:val="000D6758"/>
    <w:rsid w:val="000E21A9"/>
    <w:rsid w:val="000E463A"/>
    <w:rsid w:val="000E60E9"/>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6606"/>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796"/>
    <w:rsid w:val="001D12FA"/>
    <w:rsid w:val="001D26EB"/>
    <w:rsid w:val="001D3602"/>
    <w:rsid w:val="001D3EBA"/>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D6CC0"/>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500D7"/>
    <w:rsid w:val="006516AA"/>
    <w:rsid w:val="00652343"/>
    <w:rsid w:val="00652D05"/>
    <w:rsid w:val="006530B9"/>
    <w:rsid w:val="00654EC4"/>
    <w:rsid w:val="00656876"/>
    <w:rsid w:val="0066406B"/>
    <w:rsid w:val="0067075B"/>
    <w:rsid w:val="006712B3"/>
    <w:rsid w:val="00674A94"/>
    <w:rsid w:val="00681FD6"/>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374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2D06"/>
    <w:rsid w:val="00932DCF"/>
    <w:rsid w:val="009347EE"/>
    <w:rsid w:val="00936D3E"/>
    <w:rsid w:val="00937F61"/>
    <w:rsid w:val="0094272B"/>
    <w:rsid w:val="009432E7"/>
    <w:rsid w:val="0094436F"/>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9F478C"/>
    <w:rsid w:val="00A005CA"/>
    <w:rsid w:val="00A02D4D"/>
    <w:rsid w:val="00A032BC"/>
    <w:rsid w:val="00A11318"/>
    <w:rsid w:val="00A113C1"/>
    <w:rsid w:val="00A119F4"/>
    <w:rsid w:val="00A12485"/>
    <w:rsid w:val="00A146D5"/>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4378"/>
    <w:rsid w:val="00AA6098"/>
    <w:rsid w:val="00AA6099"/>
    <w:rsid w:val="00AA6720"/>
    <w:rsid w:val="00AB10E4"/>
    <w:rsid w:val="00AB371C"/>
    <w:rsid w:val="00AB5E82"/>
    <w:rsid w:val="00AB6547"/>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CF6C5D"/>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62F2C"/>
    <w:rsid w:val="00D65184"/>
    <w:rsid w:val="00D659DB"/>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203EA"/>
    <w:rsid w:val="00F21C87"/>
    <w:rsid w:val="00F2240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8705C"/>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bmjoseph@ucdavis.edu" TargetMode="External"/><Relationship Id="rId2" Type="http://schemas.openxmlformats.org/officeDocument/2006/relationships/customXml" Target="../customXml/item2.xml"/><Relationship Id="rId16" Type="http://schemas.openxmlformats.org/officeDocument/2006/relationships/hyperlink" Target="mailto:hs-privacyprogram@ucdavis.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195C-3943-4CE7-8934-7F498A067E97}">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 ds:uri="http://schemas.microsoft.com/sharepoint/v4"/>
    <ds:schemaRef ds:uri="http://purl.org/dc/terms/"/>
    <ds:schemaRef ds:uri="e3828a30-2d38-4d6a-8a58-8b9cb9b1a93c"/>
    <ds:schemaRef ds:uri="http://schemas.microsoft.com/office/2006/metadata/properties"/>
    <ds:schemaRef ds:uri="c4a7f297-ede0-4589-ba3f-dba18188a217"/>
    <ds:schemaRef ds:uri="http://schemas.microsoft.com/sharepoint/v3"/>
    <ds:schemaRef ds:uri="http://purl.org/dc/elements/1.1/"/>
  </ds:schemaRefs>
</ds:datastoreItem>
</file>

<file path=customXml/itemProps2.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4.xml><?xml version="1.0" encoding="utf-8"?>
<ds:datastoreItem xmlns:ds="http://schemas.openxmlformats.org/officeDocument/2006/customXml" ds:itemID="{82E591ED-C15B-4FF3-BB2C-7B00C91EB92B}">
  <ds:schemaRefs>
    <ds:schemaRef ds:uri="http://schemas.microsoft.com/sharepoint/events"/>
  </ds:schemaRefs>
</ds:datastoreItem>
</file>

<file path=customXml/itemProps5.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1457</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9716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2</cp:revision>
  <cp:lastPrinted>2017-09-14T23:45:00Z</cp:lastPrinted>
  <dcterms:created xsi:type="dcterms:W3CDTF">2023-01-24T19:26:00Z</dcterms:created>
  <dcterms:modified xsi:type="dcterms:W3CDTF">2023-01-24T19:26:00Z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